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2FE3B" w14:textId="77777777" w:rsidR="00F052A9" w:rsidRDefault="00F052A9" w:rsidP="00C01F89">
      <w:pPr>
        <w:pStyle w:val="Body"/>
      </w:pPr>
    </w:p>
    <w:p w14:paraId="04F00510" w14:textId="77777777" w:rsidR="005F48D1" w:rsidRPr="003E46B3" w:rsidRDefault="005F48D1" w:rsidP="005F48D1">
      <w:pPr>
        <w:pStyle w:val="Body"/>
      </w:pPr>
      <w:r>
        <w:rPr>
          <w:rFonts w:cs="Calibri"/>
        </w:rPr>
        <w:t>This</w:t>
      </w:r>
      <w:r w:rsidRPr="00562B8D">
        <w:rPr>
          <w:rFonts w:cs="Calibri"/>
        </w:rPr>
        <w:t xml:space="preserve"> checklist </w:t>
      </w:r>
      <w:r>
        <w:rPr>
          <w:rFonts w:cs="Calibri"/>
        </w:rPr>
        <w:t xml:space="preserve">has been developed </w:t>
      </w:r>
      <w:r w:rsidRPr="00562B8D">
        <w:rPr>
          <w:rFonts w:cs="Calibri"/>
        </w:rPr>
        <w:t>to help you organize and com</w:t>
      </w:r>
      <w:r>
        <w:rPr>
          <w:rFonts w:cs="Calibri"/>
        </w:rPr>
        <w:t xml:space="preserve">plete all Part C requirements for </w:t>
      </w:r>
      <w:r>
        <w:rPr>
          <w:rFonts w:cs="Calibri"/>
        </w:rPr>
        <w:br/>
        <w:t>the IFSP development</w:t>
      </w:r>
      <w:r w:rsidRPr="00562B8D">
        <w:rPr>
          <w:rFonts w:cs="Calibri"/>
        </w:rPr>
        <w:t xml:space="preserve"> process.</w:t>
      </w:r>
      <w:r>
        <w:rPr>
          <w:rFonts w:cs="Calibri"/>
        </w:rPr>
        <w:t xml:space="preserve"> </w:t>
      </w:r>
      <w:r>
        <w:t xml:space="preserve">This checklist is intended to be used as a companion tool after you </w:t>
      </w:r>
      <w:r>
        <w:br/>
        <w:t xml:space="preserve">have read the </w:t>
      </w:r>
      <w:r w:rsidRPr="005241E8">
        <w:rPr>
          <w:i/>
        </w:rPr>
        <w:t>Infant &amp; Toddler Connection of Virginia Practice Manual.</w:t>
      </w:r>
      <w:r>
        <w:rPr>
          <w:i/>
        </w:rPr>
        <w:t xml:space="preserve"> </w:t>
      </w:r>
      <w:r>
        <w:t xml:space="preserve">For complete information </w:t>
      </w:r>
      <w:r>
        <w:br/>
        <w:t xml:space="preserve">about IFSP development, please refer to the </w:t>
      </w:r>
      <w:r>
        <w:rPr>
          <w:i/>
        </w:rPr>
        <w:t xml:space="preserve">Infant and Toddler Connection of Virginia Practice </w:t>
      </w:r>
      <w:r>
        <w:rPr>
          <w:i/>
        </w:rPr>
        <w:br/>
        <w:t>Manual, Ch. 7 – IFSP Development.</w:t>
      </w:r>
      <w:r>
        <w:t xml:space="preserve"> </w:t>
      </w:r>
    </w:p>
    <w:p w14:paraId="06FEF24F" w14:textId="77777777" w:rsidR="008A5B71" w:rsidRDefault="008A5B71" w:rsidP="00C01F89">
      <w:pPr>
        <w:pStyle w:val="Body"/>
      </w:pPr>
    </w:p>
    <w:p w14:paraId="7DA27CB7" w14:textId="77777777" w:rsidR="004F27E5" w:rsidRDefault="004F27E5" w:rsidP="00C01F89">
      <w:pPr>
        <w:pStyle w:val="Body"/>
      </w:pPr>
    </w:p>
    <w:p w14:paraId="5D976546" w14:textId="77777777" w:rsidR="005F48D1" w:rsidRPr="00313BF3" w:rsidRDefault="005F48D1" w:rsidP="005F48D1">
      <w:pPr>
        <w:pStyle w:val="BodyHead"/>
      </w:pPr>
      <w:r w:rsidRPr="00313BF3">
        <w:t>Steps</w:t>
      </w:r>
    </w:p>
    <w:p w14:paraId="141524BF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 xml:space="preserve">Schedule initial IFSP meeting within 45 days of receipt of referral unless there are mitigating family circumstances (noted on </w:t>
      </w:r>
      <w:r>
        <w:rPr>
          <w:i/>
        </w:rPr>
        <w:t xml:space="preserve">Individual </w:t>
      </w:r>
      <w:r w:rsidRPr="009C362A">
        <w:rPr>
          <w:i/>
        </w:rPr>
        <w:t>Child Data Form</w:t>
      </w:r>
      <w:r>
        <w:t>).</w:t>
      </w:r>
    </w:p>
    <w:p w14:paraId="0A2F5F99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>Ensure that the IFSP meeting is conducted</w:t>
      </w:r>
      <w:r w:rsidRPr="002B1F13">
        <w:t xml:space="preserve"> in </w:t>
      </w:r>
      <w:r>
        <w:t>the family’s native language or other mode of communication unless clearly not feasible to do so.</w:t>
      </w:r>
    </w:p>
    <w:p w14:paraId="56732A80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 xml:space="preserve">Inform the family that including information in the </w:t>
      </w:r>
      <w:r>
        <w:rPr>
          <w:i/>
        </w:rPr>
        <w:t>IFSP</w:t>
      </w:r>
      <w:r>
        <w:t xml:space="preserve"> about their resources, priorities, and concerns related to their child’s development is voluntary.</w:t>
      </w:r>
    </w:p>
    <w:p w14:paraId="1B325A00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>Encourage and support the family as they participate as full and equal members of the IFSP team.</w:t>
      </w:r>
    </w:p>
    <w:p w14:paraId="75B3823F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 xml:space="preserve">Review information with the IFSP team, including the family, that you may have already gathered and included on the </w:t>
      </w:r>
      <w:r w:rsidRPr="00F95684">
        <w:rPr>
          <w:i/>
        </w:rPr>
        <w:t>IFSP</w:t>
      </w:r>
      <w:r>
        <w:t>, such as</w:t>
      </w:r>
      <w:r w:rsidR="008D5083">
        <w:t xml:space="preserve"> </w:t>
      </w:r>
      <w:r w:rsidR="00753404">
        <w:t>d</w:t>
      </w:r>
      <w:r w:rsidR="008D5083">
        <w:t xml:space="preserve">aily </w:t>
      </w:r>
      <w:r w:rsidR="00753404">
        <w:t>a</w:t>
      </w:r>
      <w:r>
        <w:t xml:space="preserve">ctivities, </w:t>
      </w:r>
      <w:r w:rsidR="00753404">
        <w:t>f</w:t>
      </w:r>
      <w:r>
        <w:t xml:space="preserve">amily </w:t>
      </w:r>
      <w:r w:rsidR="00753404">
        <w:t>r</w:t>
      </w:r>
      <w:r>
        <w:t xml:space="preserve">esources, </w:t>
      </w:r>
      <w:r w:rsidR="00753404">
        <w:t>p</w:t>
      </w:r>
      <w:r>
        <w:t xml:space="preserve">riorities, and </w:t>
      </w:r>
      <w:r w:rsidR="00753404">
        <w:t>c</w:t>
      </w:r>
      <w:r>
        <w:t xml:space="preserve">oncerns, and </w:t>
      </w:r>
      <w:r w:rsidR="008D5083">
        <w:t xml:space="preserve">Team </w:t>
      </w:r>
      <w:r>
        <w:t>Assessment</w:t>
      </w:r>
      <w:r w:rsidR="008D5083">
        <w:t xml:space="preserve"> Narrative</w:t>
      </w:r>
      <w:r>
        <w:t>.</w:t>
      </w:r>
    </w:p>
    <w:p w14:paraId="02989956" w14:textId="77777777" w:rsidR="00580CA8" w:rsidRDefault="00580CA8" w:rsidP="005F48D1">
      <w:pPr>
        <w:pStyle w:val="Body"/>
        <w:numPr>
          <w:ilvl w:val="0"/>
          <w:numId w:val="3"/>
        </w:numPr>
        <w:spacing w:line="320" w:lineRule="exact"/>
      </w:pPr>
      <w:r>
        <w:t>Discuss the outcomes the family wants to work on to enhance the child’s development, engagement, social relationships and independence in family and community routines and activities.</w:t>
      </w:r>
    </w:p>
    <w:p w14:paraId="333F21D4" w14:textId="77777777" w:rsidR="00580CA8" w:rsidRDefault="00580CA8" w:rsidP="005F48D1">
      <w:pPr>
        <w:pStyle w:val="Body"/>
        <w:numPr>
          <w:ilvl w:val="0"/>
          <w:numId w:val="3"/>
        </w:numPr>
        <w:spacing w:line="320" w:lineRule="exact"/>
      </w:pPr>
      <w:r>
        <w:t>Discuss the family outcomes the family would like to include.</w:t>
      </w:r>
    </w:p>
    <w:p w14:paraId="18019497" w14:textId="77777777" w:rsidR="008122C2" w:rsidRPr="008122C2" w:rsidRDefault="00580CA8" w:rsidP="005F48D1">
      <w:pPr>
        <w:pStyle w:val="Body"/>
        <w:numPr>
          <w:ilvl w:val="0"/>
          <w:numId w:val="3"/>
        </w:numPr>
        <w:spacing w:line="320" w:lineRule="exact"/>
        <w:rPr>
          <w:i/>
        </w:rPr>
      </w:pPr>
      <w:r>
        <w:t>Collaborate with the family and early intervention providers to identify strategies/activities and the necessary supports and services to achieve outcomes and enhance participation and learning in natural environments</w:t>
      </w:r>
      <w:r w:rsidR="008122C2">
        <w:t>.</w:t>
      </w:r>
      <w:r>
        <w:t xml:space="preserve"> </w:t>
      </w:r>
    </w:p>
    <w:p w14:paraId="0FAE35C8" w14:textId="77777777" w:rsidR="005F48D1" w:rsidRPr="008122C2" w:rsidRDefault="005F48D1" w:rsidP="005F48D1">
      <w:pPr>
        <w:pStyle w:val="Body"/>
        <w:numPr>
          <w:ilvl w:val="0"/>
          <w:numId w:val="3"/>
        </w:numPr>
        <w:spacing w:line="320" w:lineRule="exact"/>
        <w:rPr>
          <w:i/>
        </w:rPr>
      </w:pPr>
      <w:r>
        <w:t xml:space="preserve">Collaborate with the IFSP team, including the family, to complete the </w:t>
      </w:r>
      <w:r w:rsidRPr="008122C2">
        <w:rPr>
          <w:i/>
        </w:rPr>
        <w:t>IFSP</w:t>
      </w:r>
      <w:r>
        <w:t xml:space="preserve"> form in accordance </w:t>
      </w:r>
      <w:r>
        <w:br/>
        <w:t xml:space="preserve">with the instructions provided in Chapter 7 of the </w:t>
      </w:r>
      <w:r w:rsidRPr="008122C2">
        <w:rPr>
          <w:i/>
        </w:rPr>
        <w:t xml:space="preserve">Infant &amp; Toddler Connection of Virginia </w:t>
      </w:r>
      <w:r w:rsidRPr="008122C2">
        <w:rPr>
          <w:i/>
        </w:rPr>
        <w:br/>
        <w:t xml:space="preserve">Practice Manual. </w:t>
      </w:r>
    </w:p>
    <w:p w14:paraId="2951F3BA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 xml:space="preserve">Obtain signatures of the family and all other IFSP team members on the </w:t>
      </w:r>
      <w:r w:rsidRPr="008C4D04">
        <w:rPr>
          <w:i/>
        </w:rPr>
        <w:t>IFSP</w:t>
      </w:r>
      <w:r>
        <w:t xml:space="preserve"> agreement.</w:t>
      </w:r>
    </w:p>
    <w:p w14:paraId="47FFF7A4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 xml:space="preserve">Offer the family a choice of Part C certified providers and obtain the parent’s signature on the </w:t>
      </w:r>
      <w:r>
        <w:br/>
      </w:r>
      <w:r>
        <w:rPr>
          <w:i/>
        </w:rPr>
        <w:t>IFSP Addendum</w:t>
      </w:r>
      <w:r>
        <w:t xml:space="preserve"> page indicating that he/she was offered this choice. </w:t>
      </w:r>
    </w:p>
    <w:p w14:paraId="41CC3CF3" w14:textId="77777777" w:rsidR="005F48D1" w:rsidRPr="00EF7CE9" w:rsidRDefault="005F48D1" w:rsidP="005F48D1">
      <w:pPr>
        <w:pStyle w:val="Body"/>
        <w:numPr>
          <w:ilvl w:val="0"/>
          <w:numId w:val="3"/>
        </w:numPr>
        <w:spacing w:line="320" w:lineRule="exact"/>
      </w:pPr>
      <w:r w:rsidRPr="00EF7CE9">
        <w:t xml:space="preserve">If the family declines one of the services offered: </w:t>
      </w:r>
    </w:p>
    <w:p w14:paraId="534AFF1B" w14:textId="77777777" w:rsidR="005F48D1" w:rsidRPr="005D45FB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Provide the family with the </w:t>
      </w:r>
      <w:r w:rsidRPr="005D45FB">
        <w:rPr>
          <w:i/>
        </w:rPr>
        <w:t>Declining Early Intervention Services</w:t>
      </w:r>
      <w:r w:rsidRPr="005D45FB">
        <w:t xml:space="preserve"> form (complete the </w:t>
      </w:r>
      <w:r>
        <w:br/>
      </w:r>
      <w:r w:rsidRPr="005D45FB">
        <w:t>top half of the form with the family).</w:t>
      </w:r>
    </w:p>
    <w:p w14:paraId="7F299DEC" w14:textId="77777777" w:rsidR="005F48D1" w:rsidRPr="005D45FB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</w:t>
      </w:r>
      <w:r>
        <w:rPr>
          <w:i/>
        </w:rPr>
        <w:br/>
        <w:t>About Family Cost Share</w:t>
      </w:r>
      <w:r w:rsidRPr="005D45FB">
        <w:t xml:space="preserve">. </w:t>
      </w:r>
      <w:r w:rsidRPr="005D45FB">
        <w:rPr>
          <w:rFonts w:cs="Calibri"/>
          <w:szCs w:val="22"/>
        </w:rPr>
        <w:t xml:space="preserve">Explain the parts that are relevant to this step. (This form </w:t>
      </w:r>
      <w:r>
        <w:rPr>
          <w:rFonts w:cs="Calibri"/>
          <w:szCs w:val="22"/>
        </w:rPr>
        <w:br/>
      </w:r>
      <w:r w:rsidRPr="005D45FB">
        <w:rPr>
          <w:rFonts w:cs="Calibri"/>
          <w:szCs w:val="22"/>
        </w:rPr>
        <w:t>must be offered, but the family may decline to receive another copy of this form.</w:t>
      </w:r>
      <w:r w:rsidR="00753404">
        <w:rPr>
          <w:rFonts w:cs="Calibri"/>
          <w:szCs w:val="22"/>
        </w:rPr>
        <w:t xml:space="preserve"> </w:t>
      </w:r>
      <w:r w:rsidR="00753404">
        <w:rPr>
          <w:rFonts w:cs="Calibri"/>
          <w:sz w:val="22"/>
          <w:szCs w:val="22"/>
        </w:rPr>
        <w:t>Document the family’s choice to decline in a contact note.)</w:t>
      </w:r>
    </w:p>
    <w:p w14:paraId="7A9C753F" w14:textId="77777777" w:rsidR="005F48D1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94994">
        <w:t xml:space="preserve">Ask the family if you can share their decision with their pediatrician and/or referral </w:t>
      </w:r>
      <w:r>
        <w:br/>
      </w:r>
      <w:r w:rsidRPr="00594994">
        <w:t>source if permission was not previously obtained.</w:t>
      </w:r>
    </w:p>
    <w:p w14:paraId="5F4ADE4E" w14:textId="77777777" w:rsidR="008122C2" w:rsidRDefault="008122C2" w:rsidP="008122C2">
      <w:pPr>
        <w:pStyle w:val="Body"/>
        <w:spacing w:line="320" w:lineRule="exact"/>
        <w:ind w:left="1440"/>
      </w:pPr>
    </w:p>
    <w:p w14:paraId="563F503E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 xml:space="preserve">If family declines all services listed on the </w:t>
      </w:r>
      <w:r w:rsidRPr="00B35989">
        <w:rPr>
          <w:i/>
        </w:rPr>
        <w:t>IFSP</w:t>
      </w:r>
      <w:r>
        <w:t>:</w:t>
      </w:r>
    </w:p>
    <w:p w14:paraId="55F648AB" w14:textId="77777777" w:rsidR="005F48D1" w:rsidRPr="005D45FB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lastRenderedPageBreak/>
        <w:t xml:space="preserve">Provide the family with the </w:t>
      </w:r>
      <w:r w:rsidRPr="005D45FB">
        <w:rPr>
          <w:i/>
        </w:rPr>
        <w:t>Declining Early Intervention Services</w:t>
      </w:r>
      <w:r w:rsidRPr="005D45FB">
        <w:t xml:space="preserve"> form (check the third </w:t>
      </w:r>
      <w:r>
        <w:br/>
      </w:r>
      <w:r w:rsidRPr="005D45FB">
        <w:t>choice at the bottom portion of the form).</w:t>
      </w:r>
    </w:p>
    <w:p w14:paraId="644EA268" w14:textId="77777777" w:rsidR="005F48D1" w:rsidRPr="0099563F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</w:t>
      </w:r>
      <w:r>
        <w:rPr>
          <w:i/>
        </w:rPr>
        <w:br/>
        <w:t>About Family Cost Share</w:t>
      </w:r>
      <w:r w:rsidRPr="005D45FB">
        <w:t xml:space="preserve">. </w:t>
      </w:r>
      <w:r w:rsidRPr="005D45FB">
        <w:rPr>
          <w:rFonts w:cs="Calibri"/>
          <w:szCs w:val="22"/>
        </w:rPr>
        <w:t xml:space="preserve">Explain the parts that are relevant to this step. (This form </w:t>
      </w:r>
      <w:r>
        <w:rPr>
          <w:rFonts w:cs="Calibri"/>
          <w:szCs w:val="22"/>
        </w:rPr>
        <w:br/>
      </w:r>
      <w:r w:rsidRPr="005D45FB">
        <w:rPr>
          <w:rFonts w:cs="Calibri"/>
          <w:szCs w:val="22"/>
        </w:rPr>
        <w:t>must be offered, but the family may decline to receive another copy of this form.</w:t>
      </w:r>
      <w:r w:rsidR="00753404">
        <w:rPr>
          <w:rFonts w:cs="Calibri"/>
          <w:szCs w:val="22"/>
        </w:rPr>
        <w:t xml:space="preserve"> </w:t>
      </w:r>
      <w:r w:rsidR="00753404">
        <w:rPr>
          <w:rFonts w:cs="Calibri"/>
          <w:sz w:val="22"/>
          <w:szCs w:val="22"/>
        </w:rPr>
        <w:t>Document the family’s choice to decline in a contact note.)</w:t>
      </w:r>
    </w:p>
    <w:p w14:paraId="37B96B44" w14:textId="77777777" w:rsidR="0099563F" w:rsidRPr="005D45FB" w:rsidRDefault="0099563F" w:rsidP="005F48D1">
      <w:pPr>
        <w:pStyle w:val="Body"/>
        <w:numPr>
          <w:ilvl w:val="0"/>
          <w:numId w:val="4"/>
        </w:numPr>
        <w:spacing w:line="320" w:lineRule="exact"/>
        <w:ind w:left="1440"/>
      </w:pPr>
      <w:r>
        <w:rPr>
          <w:rFonts w:cs="Calibri"/>
          <w:szCs w:val="22"/>
        </w:rPr>
        <w:t>Obtain the family’s consent to make referrals to other appropriate resources/services as needed, including Part B services if the child is close to being age eligible for early childhood special education services.</w:t>
      </w:r>
    </w:p>
    <w:p w14:paraId="5F54D05D" w14:textId="77777777" w:rsidR="005F48D1" w:rsidRPr="005D45FB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Ask the family if you can share their decision with their pediatrician and/or referral source </w:t>
      </w:r>
      <w:r>
        <w:br/>
      </w:r>
      <w:r w:rsidRPr="005D45FB">
        <w:t>if permission was not previously obtained.</w:t>
      </w:r>
    </w:p>
    <w:p w14:paraId="53CA769F" w14:textId="77777777" w:rsidR="005F48D1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>Document in ITOTS within 10 business days that the child was determined eligible but the family has declined services.</w:t>
      </w:r>
    </w:p>
    <w:p w14:paraId="19358EC0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>If family requests a specific service, frequency, length, location, or method of delivery that rest of team does not believe is needed to meet outcomes developed:</w:t>
      </w:r>
    </w:p>
    <w:p w14:paraId="36B21F30" w14:textId="77777777" w:rsidR="005F48D1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>
        <w:t xml:space="preserve">Provide the family with the </w:t>
      </w:r>
      <w:r>
        <w:rPr>
          <w:i/>
        </w:rPr>
        <w:t>Parental Prior Notice</w:t>
      </w:r>
      <w:r>
        <w:t xml:space="preserve"> form (check the “Other” line and specify the reason for the refusal to provide the specific service).</w:t>
      </w:r>
    </w:p>
    <w:p w14:paraId="6A633A32" w14:textId="77777777" w:rsidR="005F48D1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</w:t>
      </w:r>
      <w:r w:rsidR="00753404">
        <w:rPr>
          <w:rFonts w:cs="Calibri"/>
          <w:szCs w:val="22"/>
        </w:rPr>
        <w:t xml:space="preserve"> </w:t>
      </w:r>
      <w:r w:rsidR="00753404">
        <w:rPr>
          <w:rFonts w:cs="Calibri"/>
          <w:sz w:val="22"/>
          <w:szCs w:val="22"/>
        </w:rPr>
        <w:t>Document the family’s choice to decline in a contact note.)</w:t>
      </w:r>
    </w:p>
    <w:p w14:paraId="7BBC6E1F" w14:textId="77777777" w:rsidR="005F48D1" w:rsidRPr="00363854" w:rsidRDefault="005F48D1" w:rsidP="005F48D1">
      <w:pPr>
        <w:pStyle w:val="Body"/>
        <w:numPr>
          <w:ilvl w:val="0"/>
          <w:numId w:val="4"/>
        </w:numPr>
        <w:spacing w:line="320" w:lineRule="exact"/>
        <w:ind w:left="1440"/>
      </w:pPr>
      <w:r>
        <w:t xml:space="preserve">For Medicaid recipients, provide the family with a completed </w:t>
      </w:r>
      <w:r>
        <w:rPr>
          <w:i/>
        </w:rPr>
        <w:t>Early Intervention Services – Notice of Action</w:t>
      </w:r>
      <w:r>
        <w:t xml:space="preserve"> letter and explain the family’s right to appeal.</w:t>
      </w:r>
    </w:p>
    <w:p w14:paraId="06D992ED" w14:textId="77777777" w:rsidR="005F48D1" w:rsidRP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 w:rsidRPr="005F48D1">
        <w:t xml:space="preserve">Complete the </w:t>
      </w:r>
      <w:r w:rsidRPr="005F48D1">
        <w:rPr>
          <w:i/>
        </w:rPr>
        <w:t>Family Cost Share Agreement or Temporary Family Cost Share Agreement</w:t>
      </w:r>
      <w:r w:rsidRPr="005F48D1">
        <w:t xml:space="preserve"> if not done earlier.</w:t>
      </w:r>
    </w:p>
    <w:p w14:paraId="63E644B8" w14:textId="77777777" w:rsidR="00753404" w:rsidRDefault="0099563F" w:rsidP="00753404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t>Obtain ph</w:t>
      </w:r>
      <w:r w:rsidR="00753404" w:rsidRPr="003D480A">
        <w:rPr>
          <w:sz w:val="22"/>
        </w:rPr>
        <w:t xml:space="preserve">ysician </w:t>
      </w:r>
      <w:r w:rsidR="00753404">
        <w:rPr>
          <w:sz w:val="22"/>
        </w:rPr>
        <w:t>signature</w:t>
      </w:r>
      <w:r w:rsidR="00753404" w:rsidRPr="003D480A">
        <w:rPr>
          <w:sz w:val="22"/>
        </w:rPr>
        <w:t xml:space="preserve"> for all services (as required by payment source)</w:t>
      </w:r>
      <w:r w:rsidR="0071745A">
        <w:rPr>
          <w:sz w:val="22"/>
        </w:rPr>
        <w:t>.</w:t>
      </w:r>
    </w:p>
    <w:p w14:paraId="13E730A5" w14:textId="77777777" w:rsidR="005F48D1" w:rsidRDefault="005F48D1" w:rsidP="005F48D1">
      <w:pPr>
        <w:pStyle w:val="Body"/>
        <w:numPr>
          <w:ilvl w:val="0"/>
          <w:numId w:val="3"/>
        </w:numPr>
        <w:spacing w:line="320" w:lineRule="exact"/>
      </w:pPr>
      <w:r>
        <w:t xml:space="preserve">Send copies of the child’s </w:t>
      </w:r>
      <w:r w:rsidRPr="0054599A">
        <w:rPr>
          <w:i/>
        </w:rPr>
        <w:t>IFSP</w:t>
      </w:r>
      <w:r w:rsidRPr="005D45FB">
        <w:t xml:space="preserve"> to </w:t>
      </w:r>
      <w:r>
        <w:t xml:space="preserve">the </w:t>
      </w:r>
      <w:r w:rsidRPr="005D45FB">
        <w:t xml:space="preserve">family, all providers of services specified on </w:t>
      </w:r>
      <w:r>
        <w:t xml:space="preserve">the </w:t>
      </w:r>
      <w:r w:rsidRPr="005D45FB">
        <w:t xml:space="preserve">child’s </w:t>
      </w:r>
      <w:r w:rsidRPr="0054599A">
        <w:rPr>
          <w:i/>
        </w:rPr>
        <w:t>IFSP</w:t>
      </w:r>
      <w:r w:rsidRPr="005D45FB">
        <w:t xml:space="preserve">; </w:t>
      </w:r>
      <w:r>
        <w:t xml:space="preserve">the </w:t>
      </w:r>
      <w:r w:rsidRPr="005D45FB">
        <w:t xml:space="preserve">pediatrician/primary care physician, etc. (with signed release from </w:t>
      </w:r>
      <w:r>
        <w:t xml:space="preserve">the </w:t>
      </w:r>
      <w:r w:rsidRPr="005D45FB">
        <w:t>parent)</w:t>
      </w:r>
      <w:r>
        <w:t>.</w:t>
      </w:r>
    </w:p>
    <w:p w14:paraId="2741EFB4" w14:textId="77777777" w:rsidR="00567686" w:rsidRDefault="005F48D1" w:rsidP="00C01F89">
      <w:pPr>
        <w:pStyle w:val="Body"/>
        <w:numPr>
          <w:ilvl w:val="0"/>
          <w:numId w:val="3"/>
        </w:numPr>
        <w:spacing w:line="320" w:lineRule="exact"/>
      </w:pPr>
      <w:r>
        <w:t xml:space="preserve">Complete the </w:t>
      </w:r>
      <w:r w:rsidRPr="009C362A">
        <w:rPr>
          <w:i/>
        </w:rPr>
        <w:t>Individual Child Data Form</w:t>
      </w:r>
      <w:r>
        <w:t xml:space="preserve"> (ICDF) for data entry into ITOTS.</w:t>
      </w:r>
    </w:p>
    <w:p w14:paraId="279583FD" w14:textId="77777777" w:rsidR="005F48D1" w:rsidRDefault="005F48D1" w:rsidP="005F48D1">
      <w:pPr>
        <w:pStyle w:val="Body"/>
        <w:spacing w:line="320" w:lineRule="exact"/>
        <w:ind w:left="0"/>
      </w:pPr>
    </w:p>
    <w:p w14:paraId="2DF55235" w14:textId="77777777" w:rsidR="005F48D1" w:rsidRDefault="005F48D1" w:rsidP="005F48D1">
      <w:pPr>
        <w:pStyle w:val="Body"/>
        <w:spacing w:line="320" w:lineRule="exact"/>
        <w:ind w:left="0"/>
      </w:pPr>
    </w:p>
    <w:p w14:paraId="375F982A" w14:textId="77777777" w:rsidR="005F48D1" w:rsidRDefault="005F48D1" w:rsidP="005F48D1">
      <w:pPr>
        <w:pStyle w:val="Body"/>
        <w:spacing w:line="320" w:lineRule="exact"/>
        <w:ind w:left="0"/>
      </w:pPr>
    </w:p>
    <w:p w14:paraId="695D6616" w14:textId="77777777" w:rsidR="005F48D1" w:rsidRPr="005F48D1" w:rsidRDefault="005F48D1" w:rsidP="005F48D1">
      <w:pPr>
        <w:pStyle w:val="Body"/>
        <w:spacing w:line="320" w:lineRule="exact"/>
        <w:ind w:left="0"/>
      </w:pPr>
    </w:p>
    <w:p w14:paraId="3F224A3C" w14:textId="77777777" w:rsidR="004F27E5" w:rsidRPr="00567686" w:rsidRDefault="004F27E5" w:rsidP="00567686">
      <w:pPr>
        <w:ind w:left="1080"/>
        <w:rPr>
          <w:rFonts w:cs="Calibri"/>
          <w:sz w:val="22"/>
          <w:szCs w:val="22"/>
        </w:rPr>
      </w:pPr>
    </w:p>
    <w:p w14:paraId="2186BD62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491C2D6C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59075363" w14:textId="77777777" w:rsidR="004F27E5" w:rsidRPr="008122C2" w:rsidRDefault="008122C2" w:rsidP="00C01F89">
      <w:pPr>
        <w:pStyle w:val="Body"/>
        <w:rPr>
          <w:rFonts w:eastAsia="Times New Roman" w:cs="Times New Roman"/>
          <w:bCs/>
          <w:sz w:val="16"/>
          <w:szCs w:val="16"/>
        </w:rPr>
      </w:pPr>
      <w:r w:rsidRPr="008122C2">
        <w:rPr>
          <w:rFonts w:eastAsia="Times New Roman" w:cs="Times New Roman"/>
          <w:bCs/>
          <w:sz w:val="16"/>
          <w:szCs w:val="16"/>
        </w:rPr>
        <w:t xml:space="preserve">Revised </w:t>
      </w:r>
      <w:r w:rsidR="0071745A">
        <w:rPr>
          <w:rFonts w:eastAsia="Times New Roman" w:cs="Times New Roman"/>
          <w:bCs/>
          <w:sz w:val="16"/>
          <w:szCs w:val="16"/>
        </w:rPr>
        <w:t>June</w:t>
      </w:r>
      <w:r w:rsidR="00753404">
        <w:rPr>
          <w:rFonts w:eastAsia="Times New Roman" w:cs="Times New Roman"/>
          <w:bCs/>
          <w:sz w:val="16"/>
          <w:szCs w:val="16"/>
        </w:rPr>
        <w:t xml:space="preserve"> 2017</w:t>
      </w:r>
    </w:p>
    <w:sectPr w:rsidR="004F27E5" w:rsidRPr="008122C2" w:rsidSect="008A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" w:right="1440" w:bottom="1440" w:left="1440" w:header="720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FB1D0" w14:textId="77777777" w:rsidR="00BB0809" w:rsidRDefault="00BB0809" w:rsidP="00635564">
      <w:r>
        <w:separator/>
      </w:r>
    </w:p>
  </w:endnote>
  <w:endnote w:type="continuationSeparator" w:id="0">
    <w:p w14:paraId="3C5321E9" w14:textId="77777777" w:rsidR="00BB0809" w:rsidRDefault="00BB0809" w:rsidP="0063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9183" w14:textId="77777777" w:rsidR="003B3EBE" w:rsidRDefault="00163FE3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E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C7FDDF" w14:textId="77777777" w:rsidR="003B3EBE" w:rsidRDefault="003B3EBE" w:rsidP="00245F6A">
    <w:pPr>
      <w:pStyle w:val="Footer"/>
      <w:ind w:right="360"/>
    </w:pPr>
  </w:p>
  <w:p w14:paraId="03631F18" w14:textId="77777777" w:rsidR="003B3EBE" w:rsidRDefault="003B3EBE"/>
  <w:p w14:paraId="0CAC8F59" w14:textId="77777777" w:rsidR="003B3EBE" w:rsidRDefault="003B3EB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B8E9" w14:textId="77777777" w:rsidR="003B3EBE" w:rsidRDefault="003B3EBE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="001E54A9">
      <w:rPr>
        <w:rFonts w:ascii="Bell Gothic Black" w:hAnsi="Bell Gothic Black"/>
        <w:color w:val="5F497A" w:themeColor="accent4" w:themeShade="BF"/>
        <w:sz w:val="28"/>
        <w:szCs w:val="28"/>
      </w:rPr>
      <w:t>veipd.org/main/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 w:rsidR="004F27E5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163FE3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163FE3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554A6F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163FE3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14:paraId="4A39B7FB" w14:textId="77777777" w:rsidR="003B3EBE" w:rsidRPr="001A249D" w:rsidRDefault="003B3EBE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B45A" w14:textId="77777777" w:rsidR="003B3EBE" w:rsidRDefault="00554A6F" w:rsidP="00686D41">
    <w:pPr>
      <w:pStyle w:val="Footer"/>
      <w:ind w:left="-180"/>
      <w:jc w:val="center"/>
    </w:pPr>
    <w:r>
      <w:rPr>
        <w:noProof/>
      </w:rPr>
      <w:drawing>
        <wp:inline distT="0" distB="0" distL="0" distR="0" wp14:anchorId="3389D3F9" wp14:editId="4995BC64">
          <wp:extent cx="5943600" cy="675005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pd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CE25" w14:textId="77777777" w:rsidR="00BB0809" w:rsidRDefault="00BB0809" w:rsidP="00635564">
      <w:r>
        <w:separator/>
      </w:r>
    </w:p>
  </w:footnote>
  <w:footnote w:type="continuationSeparator" w:id="0">
    <w:p w14:paraId="7CF497D0" w14:textId="77777777" w:rsidR="00BB0809" w:rsidRDefault="00BB0809" w:rsidP="00635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3643" w14:textId="77777777" w:rsidR="000B046C" w:rsidRDefault="000B04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F5F84" w14:textId="77777777" w:rsidR="00403E09" w:rsidRPr="004E662C" w:rsidRDefault="003B3EBE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 wp14:anchorId="6D6D2E5B" wp14:editId="10983E37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D1F32"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B977FD9" wp14:editId="3E1086B1">
              <wp:simplePos x="0" y="0"/>
              <wp:positionH relativeFrom="column">
                <wp:posOffset>-62230</wp:posOffset>
              </wp:positionH>
              <wp:positionV relativeFrom="paragraph">
                <wp:posOffset>358139</wp:posOffset>
              </wp:positionV>
              <wp:extent cx="5143500" cy="0"/>
              <wp:effectExtent l="0" t="0" r="19050" b="57150"/>
              <wp:wrapNone/>
              <wp:docPr id="3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28.2pt" to="400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" strokecolor="#87c6c6" strokeweight="2pt">
              <v:shadow on="t" opacity="24903f" origin=",.5" offset="0,.55556mm"/>
            </v:line>
          </w:pict>
        </mc:Fallback>
      </mc:AlternateContent>
    </w:r>
    <w:r w:rsid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I</w:t>
    </w:r>
    <w:r w:rsidR="00403E09" w:rsidRP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FSP Development Checklist</w:t>
    </w:r>
  </w:p>
  <w:p w14:paraId="3CD03D4B" w14:textId="77777777" w:rsidR="003B3EBE" w:rsidRPr="00567686" w:rsidRDefault="003B3EBE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C41B" w14:textId="77777777" w:rsidR="003B3EBE" w:rsidRPr="004E662C" w:rsidRDefault="00DD1F32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B0C0C7E" wp14:editId="38480F99">
              <wp:simplePos x="0" y="0"/>
              <wp:positionH relativeFrom="column">
                <wp:posOffset>-62230</wp:posOffset>
              </wp:positionH>
              <wp:positionV relativeFrom="paragraph">
                <wp:posOffset>345439</wp:posOffset>
              </wp:positionV>
              <wp:extent cx="5372100" cy="0"/>
              <wp:effectExtent l="0" t="0" r="19050" b="5715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27.2pt" to="418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" strokecolor="#87c6c6" strokeweight="2pt">
              <v:shadow on="t" opacity="24903f" origin=",.5" offset="0,.55556mm"/>
            </v:line>
          </w:pict>
        </mc:Fallback>
      </mc:AlternateContent>
    </w:r>
    <w:r w:rsidR="003B3EBE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 wp14:anchorId="3F8B218C" wp14:editId="5792BDD7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E09" w:rsidRP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IFSP Development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B7F"/>
    <w:multiLevelType w:val="hybridMultilevel"/>
    <w:tmpl w:val="9888295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45"/>
    <w:multiLevelType w:val="hybridMultilevel"/>
    <w:tmpl w:val="9842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412FA"/>
    <w:multiLevelType w:val="hybridMultilevel"/>
    <w:tmpl w:val="235A8B2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B20A2"/>
    <w:multiLevelType w:val="hybridMultilevel"/>
    <w:tmpl w:val="263642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9826A9"/>
    <w:multiLevelType w:val="hybridMultilevel"/>
    <w:tmpl w:val="C5B2B0E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14A32"/>
    <w:multiLevelType w:val="multilevel"/>
    <w:tmpl w:val="A2F2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A003A"/>
    <w:multiLevelType w:val="hybridMultilevel"/>
    <w:tmpl w:val="9D44A5F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01E59"/>
    <w:multiLevelType w:val="hybridMultilevel"/>
    <w:tmpl w:val="B70CFDC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2036"/>
    <w:multiLevelType w:val="hybridMultilevel"/>
    <w:tmpl w:val="DB084D04"/>
    <w:lvl w:ilvl="0" w:tplc="F89C0CE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94F1F"/>
    <w:multiLevelType w:val="hybridMultilevel"/>
    <w:tmpl w:val="9472776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525C3"/>
    <w:multiLevelType w:val="hybridMultilevel"/>
    <w:tmpl w:val="562E76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674E43"/>
    <w:multiLevelType w:val="hybridMultilevel"/>
    <w:tmpl w:val="4BB82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63E0D"/>
    <w:multiLevelType w:val="hybridMultilevel"/>
    <w:tmpl w:val="E7C03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864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64"/>
    <w:rsid w:val="00030B4C"/>
    <w:rsid w:val="000438CD"/>
    <w:rsid w:val="000943D3"/>
    <w:rsid w:val="000B046C"/>
    <w:rsid w:val="000F14E0"/>
    <w:rsid w:val="000F6308"/>
    <w:rsid w:val="000F7A90"/>
    <w:rsid w:val="00113E8F"/>
    <w:rsid w:val="00121B35"/>
    <w:rsid w:val="001550C4"/>
    <w:rsid w:val="00163FE3"/>
    <w:rsid w:val="001A249D"/>
    <w:rsid w:val="001B2EE2"/>
    <w:rsid w:val="001D6D3C"/>
    <w:rsid w:val="001E54A9"/>
    <w:rsid w:val="001F57FD"/>
    <w:rsid w:val="00245F6A"/>
    <w:rsid w:val="00254E10"/>
    <w:rsid w:val="003207FF"/>
    <w:rsid w:val="00355866"/>
    <w:rsid w:val="003B3EBE"/>
    <w:rsid w:val="00403E09"/>
    <w:rsid w:val="00415565"/>
    <w:rsid w:val="00430C8A"/>
    <w:rsid w:val="00433A45"/>
    <w:rsid w:val="004E2C6D"/>
    <w:rsid w:val="004E662C"/>
    <w:rsid w:val="004F27E5"/>
    <w:rsid w:val="005137AF"/>
    <w:rsid w:val="00521DCA"/>
    <w:rsid w:val="0054539C"/>
    <w:rsid w:val="00554A6F"/>
    <w:rsid w:val="0055688B"/>
    <w:rsid w:val="00567686"/>
    <w:rsid w:val="00580CA8"/>
    <w:rsid w:val="005F48D1"/>
    <w:rsid w:val="006036E8"/>
    <w:rsid w:val="00616CBD"/>
    <w:rsid w:val="00635564"/>
    <w:rsid w:val="00670143"/>
    <w:rsid w:val="00683476"/>
    <w:rsid w:val="00686D41"/>
    <w:rsid w:val="006A271C"/>
    <w:rsid w:val="006C6B63"/>
    <w:rsid w:val="006E42B1"/>
    <w:rsid w:val="0071745A"/>
    <w:rsid w:val="00753404"/>
    <w:rsid w:val="007D01EF"/>
    <w:rsid w:val="007D5E71"/>
    <w:rsid w:val="008122C2"/>
    <w:rsid w:val="00815E75"/>
    <w:rsid w:val="008358D6"/>
    <w:rsid w:val="00862780"/>
    <w:rsid w:val="008A5B71"/>
    <w:rsid w:val="008B2067"/>
    <w:rsid w:val="008B7BE6"/>
    <w:rsid w:val="008D02C0"/>
    <w:rsid w:val="008D5083"/>
    <w:rsid w:val="00900E4E"/>
    <w:rsid w:val="009239F5"/>
    <w:rsid w:val="0099563F"/>
    <w:rsid w:val="009C2A36"/>
    <w:rsid w:val="00A04B75"/>
    <w:rsid w:val="00A475DD"/>
    <w:rsid w:val="00A57D6B"/>
    <w:rsid w:val="00A815F7"/>
    <w:rsid w:val="00AC2431"/>
    <w:rsid w:val="00AC79D6"/>
    <w:rsid w:val="00AD7639"/>
    <w:rsid w:val="00AD7C65"/>
    <w:rsid w:val="00B1594E"/>
    <w:rsid w:val="00B2695F"/>
    <w:rsid w:val="00B41E55"/>
    <w:rsid w:val="00B57CBA"/>
    <w:rsid w:val="00B624E4"/>
    <w:rsid w:val="00BB0809"/>
    <w:rsid w:val="00BC75E7"/>
    <w:rsid w:val="00C01F89"/>
    <w:rsid w:val="00C25E78"/>
    <w:rsid w:val="00C566AE"/>
    <w:rsid w:val="00C77A65"/>
    <w:rsid w:val="00CA7E4B"/>
    <w:rsid w:val="00D33151"/>
    <w:rsid w:val="00D332C1"/>
    <w:rsid w:val="00D97605"/>
    <w:rsid w:val="00DA4BA9"/>
    <w:rsid w:val="00DC2C38"/>
    <w:rsid w:val="00DD1F32"/>
    <w:rsid w:val="00E26361"/>
    <w:rsid w:val="00E316DF"/>
    <w:rsid w:val="00E5214C"/>
    <w:rsid w:val="00ED3FDF"/>
    <w:rsid w:val="00EE2639"/>
    <w:rsid w:val="00EF0377"/>
    <w:rsid w:val="00EF6BC1"/>
    <w:rsid w:val="00F052A9"/>
    <w:rsid w:val="00F13A6D"/>
    <w:rsid w:val="00F159F6"/>
    <w:rsid w:val="00F55095"/>
    <w:rsid w:val="00FA4C02"/>
    <w:rsid w:val="00FE79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F196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5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083"/>
    <w:rPr>
      <w:color w:val="000000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083"/>
    <w:rPr>
      <w:b/>
      <w:bCs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BEB24-F8C5-B942-99FC-24E7C1B9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744</Words>
  <Characters>4244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CIHS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Zielinski</dc:creator>
  <cp:lastModifiedBy>Microsoft Office User</cp:lastModifiedBy>
  <cp:revision>6</cp:revision>
  <cp:lastPrinted>2013-07-15T20:35:00Z</cp:lastPrinted>
  <dcterms:created xsi:type="dcterms:W3CDTF">2017-04-06T17:39:00Z</dcterms:created>
  <dcterms:modified xsi:type="dcterms:W3CDTF">2017-06-22T22:22:00Z</dcterms:modified>
</cp:coreProperties>
</file>